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72ADBFB0"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23bis</w:t>
      </w:r>
      <w:r w:rsidRPr="00DE3FC8">
        <w:rPr>
          <w:lang w:val="en-US"/>
        </w:rPr>
        <w:tab/>
      </w:r>
      <w:r>
        <w:rPr>
          <w:sz w:val="32"/>
          <w:szCs w:val="32"/>
          <w:lang w:val="en-US"/>
        </w:rPr>
        <w:t>R2-</w:t>
      </w:r>
      <w:r w:rsidR="00120B7F">
        <w:rPr>
          <w:sz w:val="32"/>
          <w:szCs w:val="32"/>
          <w:lang w:val="en-US"/>
        </w:rPr>
        <w:t>23</w:t>
      </w:r>
      <w:r w:rsidR="00B07835">
        <w:rPr>
          <w:sz w:val="32"/>
          <w:szCs w:val="32"/>
          <w:lang w:val="en-US"/>
        </w:rPr>
        <w:t>10884</w:t>
      </w:r>
    </w:p>
    <w:p w14:paraId="5104E0A7" w14:textId="6A2A2291" w:rsidR="006255E7" w:rsidRDefault="00987313" w:rsidP="006255E7">
      <w:pPr>
        <w:pStyle w:val="CRCoverPage"/>
        <w:outlineLvl w:val="0"/>
        <w:rPr>
          <w:b/>
          <w:noProof/>
          <w:sz w:val="24"/>
        </w:rPr>
      </w:pPr>
      <w:r>
        <w:rPr>
          <w:b/>
          <w:noProof/>
          <w:sz w:val="24"/>
        </w:rPr>
        <w:t>Xiamen</w:t>
      </w:r>
      <w:r w:rsidR="006255E7">
        <w:rPr>
          <w:b/>
          <w:noProof/>
          <w:sz w:val="24"/>
        </w:rPr>
        <w:t xml:space="preserve">, </w:t>
      </w:r>
      <w:r>
        <w:rPr>
          <w:b/>
          <w:noProof/>
          <w:sz w:val="24"/>
        </w:rPr>
        <w:t>China</w:t>
      </w:r>
      <w:r w:rsidR="006255E7">
        <w:rPr>
          <w:b/>
          <w:noProof/>
          <w:sz w:val="24"/>
        </w:rPr>
        <w:t xml:space="preserve">, </w:t>
      </w:r>
      <w:r w:rsidR="00E455C2">
        <w:rPr>
          <w:b/>
          <w:noProof/>
          <w:sz w:val="24"/>
        </w:rPr>
        <w:t>9</w:t>
      </w:r>
      <w:r w:rsidR="00BB26BF" w:rsidRPr="00BB26BF">
        <w:rPr>
          <w:b/>
          <w:noProof/>
          <w:sz w:val="24"/>
          <w:vertAlign w:val="superscript"/>
        </w:rPr>
        <w:t>th</w:t>
      </w:r>
      <w:r w:rsidR="00E455C2">
        <w:rPr>
          <w:b/>
          <w:noProof/>
          <w:sz w:val="24"/>
        </w:rPr>
        <w:t xml:space="preserve"> – 13</w:t>
      </w:r>
      <w:r w:rsidR="00BB26BF" w:rsidRPr="00BB26BF">
        <w:rPr>
          <w:b/>
          <w:noProof/>
          <w:sz w:val="24"/>
          <w:vertAlign w:val="superscript"/>
        </w:rPr>
        <w:t>th</w:t>
      </w:r>
      <w:r w:rsidR="00E455C2">
        <w:rPr>
          <w:b/>
          <w:noProof/>
          <w:sz w:val="24"/>
        </w:rPr>
        <w:t xml:space="preserve"> Oct</w:t>
      </w:r>
      <w:r w:rsidR="00BB26BF">
        <w:rPr>
          <w:b/>
          <w:noProof/>
          <w:sz w:val="24"/>
        </w:rPr>
        <w:t>ober</w:t>
      </w:r>
      <w:r w:rsidR="00E455C2">
        <w:rPr>
          <w:b/>
          <w:noProof/>
          <w:sz w:val="24"/>
        </w:rPr>
        <w:t xml:space="preserve"> 2023</w:t>
      </w:r>
    </w:p>
    <w:p w14:paraId="432B3E09" w14:textId="77777777" w:rsidR="00E90E49" w:rsidRPr="00CE0424" w:rsidRDefault="00E90E49" w:rsidP="00357380">
      <w:pPr>
        <w:pStyle w:val="3GPPHeader"/>
      </w:pPr>
    </w:p>
    <w:p w14:paraId="6CF7B12A" w14:textId="052820C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B26BF">
        <w:rPr>
          <w:sz w:val="22"/>
          <w:szCs w:val="22"/>
        </w:rPr>
        <w:t>5.1.3</w:t>
      </w:r>
      <w:r w:rsidR="00B07835">
        <w:rPr>
          <w:sz w:val="22"/>
          <w:szCs w:val="22"/>
        </w:rPr>
        <w:t>.1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5BAE08E" w:rsidR="00E90E49" w:rsidRPr="00CE0424" w:rsidRDefault="003D3C45" w:rsidP="00311702">
      <w:pPr>
        <w:pStyle w:val="3GPPHeader"/>
        <w:rPr>
          <w:sz w:val="22"/>
          <w:szCs w:val="22"/>
        </w:rPr>
      </w:pPr>
      <w:r>
        <w:rPr>
          <w:sz w:val="22"/>
          <w:szCs w:val="22"/>
        </w:rPr>
        <w:t>Title:</w:t>
      </w:r>
      <w:r w:rsidR="00E90E49" w:rsidRPr="00CE0424">
        <w:rPr>
          <w:sz w:val="22"/>
          <w:szCs w:val="22"/>
        </w:rPr>
        <w:tab/>
      </w:r>
      <w:r w:rsidR="00BB26BF">
        <w:rPr>
          <w:sz w:val="22"/>
          <w:szCs w:val="22"/>
        </w:rPr>
        <w:t>RRM relaxation and HST measurements</w:t>
      </w:r>
    </w:p>
    <w:p w14:paraId="041C83B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B26BF">
        <w:rPr>
          <w:sz w:val="22"/>
          <w:szCs w:val="22"/>
        </w:rPr>
        <w:t>Discussion, Decision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301167B1" w:rsidR="00477768" w:rsidRPr="00CE0424" w:rsidRDefault="00BB26BF" w:rsidP="00CE0424">
      <w:pPr>
        <w:pStyle w:val="BodyText"/>
      </w:pPr>
      <w:r w:rsidRPr="00BB26BF">
        <w:t xml:space="preserve">The case when both RRM measurement relaxation and </w:t>
      </w:r>
      <w:proofErr w:type="gramStart"/>
      <w:r w:rsidRPr="00BB26BF">
        <w:t>high speed</w:t>
      </w:r>
      <w:proofErr w:type="gramEnd"/>
      <w:r w:rsidRPr="00BB26BF">
        <w:t xml:space="preserve"> measurements are configured in the cell is discussed further in this contribution.</w:t>
      </w:r>
    </w:p>
    <w:p w14:paraId="38853E39" w14:textId="77777777" w:rsidR="004000E8" w:rsidRDefault="00230D18" w:rsidP="00CE0424">
      <w:pPr>
        <w:pStyle w:val="Heading1"/>
      </w:pPr>
      <w:bookmarkStart w:id="0" w:name="_Ref178064866"/>
      <w:r>
        <w:t>2</w:t>
      </w:r>
      <w:r>
        <w:tab/>
      </w:r>
      <w:r w:rsidR="004000E8" w:rsidRPr="00CE0424">
        <w:t>Discussion</w:t>
      </w:r>
      <w:bookmarkEnd w:id="0"/>
    </w:p>
    <w:p w14:paraId="4B527261" w14:textId="29AF8FC2" w:rsidR="00BB26BF" w:rsidRDefault="00BB26BF" w:rsidP="00BB26BF">
      <w:pPr>
        <w:pStyle w:val="BodyText"/>
      </w:pPr>
      <w:r>
        <w:t xml:space="preserve">In RAN2#122 it was proposed to clarify that </w:t>
      </w:r>
      <w:proofErr w:type="spellStart"/>
      <w:r>
        <w:t>highSpeedConfig</w:t>
      </w:r>
      <w:proofErr w:type="spellEnd"/>
      <w:r>
        <w:t xml:space="preserve"> and </w:t>
      </w:r>
      <w:proofErr w:type="spellStart"/>
      <w:r>
        <w:t>relaxedMeasurement</w:t>
      </w:r>
      <w:proofErr w:type="spellEnd"/>
      <w:r>
        <w:t xml:space="preserve"> cannot be configured simultaneously in the same cell [1,2]. Some companies thought that the network should be allowed to configure both features together. Other companies thought that this is a rare/unusual case. No conclusion was reached, and the topic was postponed.</w:t>
      </w:r>
    </w:p>
    <w:p w14:paraId="34FAC0B7" w14:textId="20D65B53" w:rsidR="00BB26BF" w:rsidRPr="00BB26BF" w:rsidRDefault="00BB26BF" w:rsidP="00BB26BF">
      <w:pPr>
        <w:pStyle w:val="Heading2"/>
      </w:pPr>
      <w:r>
        <w:t>2.1</w:t>
      </w:r>
      <w:r>
        <w:tab/>
      </w:r>
      <w:r w:rsidRPr="00BB26BF">
        <w:t>Use case</w:t>
      </w:r>
    </w:p>
    <w:p w14:paraId="12BFFF48" w14:textId="77777777" w:rsidR="00BB26BF" w:rsidRDefault="00BB26BF" w:rsidP="00BB26BF">
      <w:pPr>
        <w:pStyle w:val="BodyText"/>
      </w:pPr>
      <w:r>
        <w:t>In rural areas HST cell may be deployed like cigar-shaped cells along the tracks, and perhaps mainly HST UEs travelling at high speed would use such cells. But it cannot be precluded that stationary UEs also camp on such cells.</w:t>
      </w:r>
    </w:p>
    <w:p w14:paraId="6AB1159E" w14:textId="043E5C54" w:rsidR="00BB26BF" w:rsidRDefault="00BB26BF" w:rsidP="00BB26BF">
      <w:pPr>
        <w:pStyle w:val="BodyText"/>
      </w:pPr>
      <w:r>
        <w:t xml:space="preserve">In high density areas e.g., at a train station or along </w:t>
      </w:r>
      <w:proofErr w:type="gramStart"/>
      <w:r>
        <w:t>high speed</w:t>
      </w:r>
      <w:proofErr w:type="gramEnd"/>
      <w:r>
        <w:t xml:space="preserve"> tracks inside a city area, there can be both HST UEs travelling at high speed (e.g. train passing a station at high speed) and UEs that are stationary (e.g. pedestrians):</w:t>
      </w:r>
    </w:p>
    <w:p w14:paraId="26972B89" w14:textId="5A1360F8" w:rsidR="00BB26BF" w:rsidRDefault="00BB26BF" w:rsidP="00BB26BF">
      <w:pPr>
        <w:pStyle w:val="Observation"/>
      </w:pPr>
      <w:bookmarkStart w:id="1" w:name="_Toc146815056"/>
      <w:r>
        <w:t xml:space="preserve">There can be use cases where both HST UEs travelling at high speed and </w:t>
      </w:r>
      <w:proofErr w:type="gramStart"/>
      <w:r>
        <w:t>stationary</w:t>
      </w:r>
      <w:proofErr w:type="gramEnd"/>
      <w:r>
        <w:t xml:space="preserve"> UEs are camped on a cell supporting HST.</w:t>
      </w:r>
      <w:bookmarkEnd w:id="1"/>
    </w:p>
    <w:p w14:paraId="106DF825" w14:textId="4C60F144" w:rsidR="00BB26BF" w:rsidRPr="00BB26BF" w:rsidRDefault="00BB26BF" w:rsidP="00BB26BF">
      <w:pPr>
        <w:pStyle w:val="Heading2"/>
      </w:pPr>
      <w:r>
        <w:t>2.2</w:t>
      </w:r>
      <w:r>
        <w:tab/>
      </w:r>
      <w:r w:rsidRPr="00BB26BF">
        <w:t>RRM measurement requirements</w:t>
      </w:r>
    </w:p>
    <w:p w14:paraId="65D560F5" w14:textId="77777777" w:rsidR="00BB26BF" w:rsidRDefault="00BB26BF" w:rsidP="00BB26BF">
      <w:pPr>
        <w:pStyle w:val="BodyText"/>
      </w:pPr>
      <w:r>
        <w:t xml:space="preserve">When both features are configured then the RRM measurement requirements are not clearly defined, </w:t>
      </w:r>
      <w:proofErr w:type="gramStart"/>
      <w:r>
        <w:t>e.g.</w:t>
      </w:r>
      <w:proofErr w:type="gramEnd"/>
      <w:r>
        <w:t xml:space="preserve"> is a HST UE in a train that has stopped at a station allowed to relax RRM measurements because the RRM relaxation criterion is fulfilled (i.e. UE is stationary)? Or should the UE perform high speed measurements because they are configured in the </w:t>
      </w:r>
      <w:proofErr w:type="gramStart"/>
      <w:r>
        <w:t>cell?:</w:t>
      </w:r>
      <w:proofErr w:type="gramEnd"/>
    </w:p>
    <w:p w14:paraId="45F575B7" w14:textId="57C7AE96" w:rsidR="00BB26BF" w:rsidRDefault="00BB26BF" w:rsidP="00BB26BF">
      <w:pPr>
        <w:pStyle w:val="Observation"/>
      </w:pPr>
      <w:bookmarkStart w:id="2" w:name="_Toc146815057"/>
      <w:r>
        <w:t>The RRM measurement requirements are not defined when both RRM relaxation and HST measurements are configured.</w:t>
      </w:r>
      <w:bookmarkEnd w:id="2"/>
    </w:p>
    <w:p w14:paraId="74B1B7BB" w14:textId="77777777" w:rsidR="00BB26BF" w:rsidRDefault="00BB26BF" w:rsidP="00BB26BF">
      <w:pPr>
        <w:pStyle w:val="BodyText"/>
      </w:pPr>
      <w:r>
        <w:t>NOTE: RRM relaxation (for normal UEs) is only applicable in RRC_IDLE and RRC_CONNECTED, while HST measurements may be configured in all states.</w:t>
      </w:r>
    </w:p>
    <w:p w14:paraId="60E2815C" w14:textId="2B33FB59" w:rsidR="00BB26BF" w:rsidRDefault="00BB26BF" w:rsidP="00BB26BF">
      <w:pPr>
        <w:pStyle w:val="BodyText"/>
      </w:pPr>
      <w:r>
        <w:t xml:space="preserve">When both features are configured, and the UE only supports one feature there is no problem, i.e., the RRM requirements are clearly defined. This is also a main reason why the network would like to configure both features in the same cell. </w:t>
      </w:r>
    </w:p>
    <w:p w14:paraId="6C898CFF" w14:textId="397289FB" w:rsidR="00BB26BF" w:rsidRPr="00BB26BF" w:rsidRDefault="00BB26BF" w:rsidP="00BB26BF">
      <w:pPr>
        <w:pStyle w:val="Heading2"/>
      </w:pPr>
      <w:r>
        <w:lastRenderedPageBreak/>
        <w:t>2.3</w:t>
      </w:r>
      <w:r>
        <w:tab/>
      </w:r>
      <w:r w:rsidRPr="00BB26BF">
        <w:t xml:space="preserve">Way </w:t>
      </w:r>
      <w:proofErr w:type="spellStart"/>
      <w:r w:rsidRPr="00BB26BF">
        <w:t>foward</w:t>
      </w:r>
      <w:proofErr w:type="spellEnd"/>
    </w:p>
    <w:p w14:paraId="73F30606" w14:textId="77777777" w:rsidR="00BB26BF" w:rsidRDefault="00BB26BF" w:rsidP="00BB26BF">
      <w:pPr>
        <w:pStyle w:val="BodyText"/>
      </w:pPr>
      <w:r>
        <w:t xml:space="preserve">In Rel-16 a UE supporting HST is required to perform the </w:t>
      </w:r>
      <w:proofErr w:type="gramStart"/>
      <w:r>
        <w:t>high speed</w:t>
      </w:r>
      <w:proofErr w:type="gramEnd"/>
      <w:r>
        <w:t xml:space="preserve"> measurements when they are configured in the cell, independent from the actual speed of the UE. In Rel-17 an HST UE in high mobility state considers an HSDN cell to be of highest priority for cell re-selection. When camped on the cell, the measurement requirements are dependent on the configuration of </w:t>
      </w:r>
      <w:proofErr w:type="gramStart"/>
      <w:r>
        <w:t>high speed</w:t>
      </w:r>
      <w:proofErr w:type="gramEnd"/>
      <w:r>
        <w:t xml:space="preserve"> measurements.</w:t>
      </w:r>
    </w:p>
    <w:p w14:paraId="4D3B09E4" w14:textId="77777777" w:rsidR="00BB26BF" w:rsidRDefault="00BB26BF" w:rsidP="00BB26BF">
      <w:pPr>
        <w:pStyle w:val="BodyText"/>
      </w:pPr>
      <w:r>
        <w:t>Dependent on the network configuration, a UE supporting RRM relaxation may be allowed to relax when it is stationary (</w:t>
      </w:r>
      <w:proofErr w:type="gramStart"/>
      <w:r>
        <w:t>i.e.</w:t>
      </w:r>
      <w:proofErr w:type="gramEnd"/>
      <w:r>
        <w:t xml:space="preserve"> low mobility) or it is not-at-cell-edge (i.e. good coverage), or a combination of both. When not-at-cell-edge is configured only, this means </w:t>
      </w:r>
      <w:proofErr w:type="gramStart"/>
      <w:r>
        <w:t>actually that</w:t>
      </w:r>
      <w:proofErr w:type="gramEnd"/>
      <w:r>
        <w:t xml:space="preserve"> a UE moving at high speed may relax while in good coverage for some time. </w:t>
      </w:r>
    </w:p>
    <w:p w14:paraId="5789A62B" w14:textId="1D778885" w:rsidR="00BB26BF" w:rsidRDefault="00BB26BF" w:rsidP="00BB26BF">
      <w:pPr>
        <w:pStyle w:val="BodyText"/>
      </w:pPr>
      <w:r>
        <w:t>The following options can be identified as a way forward:</w:t>
      </w:r>
    </w:p>
    <w:tbl>
      <w:tblPr>
        <w:tblStyle w:val="GridTable4-Accent1"/>
        <w:tblW w:w="0" w:type="auto"/>
        <w:tblLook w:val="04A0" w:firstRow="1" w:lastRow="0" w:firstColumn="1" w:lastColumn="0" w:noHBand="0" w:noVBand="1"/>
      </w:tblPr>
      <w:tblGrid>
        <w:gridCol w:w="1696"/>
        <w:gridCol w:w="3686"/>
        <w:gridCol w:w="4247"/>
      </w:tblGrid>
      <w:tr w:rsidR="00BB26BF" w:rsidRPr="00BB26BF" w14:paraId="411D012B" w14:textId="77777777" w:rsidTr="00BB26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0896376B" w14:textId="77777777" w:rsidR="00BB26BF" w:rsidRPr="00BB26BF" w:rsidRDefault="00BB26BF" w:rsidP="000A6EA2">
            <w:pPr>
              <w:pStyle w:val="BodyText"/>
            </w:pPr>
            <w:r w:rsidRPr="00BB26BF">
              <w:t>Description</w:t>
            </w:r>
          </w:p>
        </w:tc>
        <w:tc>
          <w:tcPr>
            <w:tcW w:w="3686" w:type="dxa"/>
          </w:tcPr>
          <w:p w14:paraId="05D8C8E2" w14:textId="77777777" w:rsidR="00BB26BF" w:rsidRPr="00BB26BF" w:rsidRDefault="00BB26BF" w:rsidP="000A6EA2">
            <w:pPr>
              <w:pStyle w:val="BodyText"/>
              <w:cnfStyle w:val="100000000000" w:firstRow="1" w:lastRow="0" w:firstColumn="0" w:lastColumn="0" w:oddVBand="0" w:evenVBand="0" w:oddHBand="0" w:evenHBand="0" w:firstRowFirstColumn="0" w:firstRowLastColumn="0" w:lastRowFirstColumn="0" w:lastRowLastColumn="0"/>
            </w:pPr>
            <w:r w:rsidRPr="00BB26BF">
              <w:t>Comments</w:t>
            </w:r>
          </w:p>
        </w:tc>
        <w:tc>
          <w:tcPr>
            <w:tcW w:w="4247" w:type="dxa"/>
          </w:tcPr>
          <w:p w14:paraId="689F44BD" w14:textId="77777777" w:rsidR="00BB26BF" w:rsidRPr="00BB26BF" w:rsidRDefault="00BB26BF" w:rsidP="000A6EA2">
            <w:pPr>
              <w:pStyle w:val="BodyText"/>
              <w:cnfStyle w:val="100000000000" w:firstRow="1" w:lastRow="0" w:firstColumn="0" w:lastColumn="0" w:oddVBand="0" w:evenVBand="0" w:oddHBand="0" w:evenHBand="0" w:firstRowFirstColumn="0" w:firstRowLastColumn="0" w:lastRowFirstColumn="0" w:lastRowLastColumn="0"/>
            </w:pPr>
          </w:p>
        </w:tc>
      </w:tr>
      <w:tr w:rsidR="00BB26BF" w:rsidRPr="00BB26BF" w14:paraId="0129E416" w14:textId="77777777" w:rsidTr="00BB2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0C2A7CA" w14:textId="77777777" w:rsidR="00BB26BF" w:rsidRPr="00BB26BF" w:rsidRDefault="00BB26BF" w:rsidP="000A6EA2">
            <w:pPr>
              <w:pStyle w:val="BodyText"/>
            </w:pPr>
            <w:r w:rsidRPr="00BB26BF">
              <w:t>Option 1</w:t>
            </w:r>
          </w:p>
        </w:tc>
        <w:tc>
          <w:tcPr>
            <w:tcW w:w="3686" w:type="dxa"/>
          </w:tcPr>
          <w:p w14:paraId="16ABA9B5" w14:textId="77777777" w:rsidR="00BB26BF" w:rsidRPr="00BB26BF" w:rsidRDefault="00BB26BF" w:rsidP="000A6EA2">
            <w:pPr>
              <w:pStyle w:val="BodyText"/>
              <w:cnfStyle w:val="000000100000" w:firstRow="0" w:lastRow="0" w:firstColumn="0" w:lastColumn="0" w:oddVBand="0" w:evenVBand="0" w:oddHBand="1" w:evenHBand="0" w:firstRowFirstColumn="0" w:firstRowLastColumn="0" w:lastRowFirstColumn="0" w:lastRowLastColumn="0"/>
            </w:pPr>
            <w:r w:rsidRPr="00BB26BF">
              <w:t>NW does not configure HST and relaxed RRM together.</w:t>
            </w:r>
          </w:p>
        </w:tc>
        <w:tc>
          <w:tcPr>
            <w:tcW w:w="4247" w:type="dxa"/>
          </w:tcPr>
          <w:p w14:paraId="529A3681" w14:textId="77777777" w:rsidR="00BB26BF" w:rsidRPr="00BB26BF" w:rsidRDefault="00BB26BF" w:rsidP="000A6EA2">
            <w:pPr>
              <w:pStyle w:val="BodyText"/>
              <w:cnfStyle w:val="000000100000" w:firstRow="0" w:lastRow="0" w:firstColumn="0" w:lastColumn="0" w:oddVBand="0" w:evenVBand="0" w:oddHBand="1" w:evenHBand="0" w:firstRowFirstColumn="0" w:firstRowLastColumn="0" w:lastRowFirstColumn="0" w:lastRowLastColumn="0"/>
            </w:pPr>
            <w:r w:rsidRPr="00BB26BF">
              <w:t xml:space="preserve">This restricts the NW configuration, and it prohibits the network to serve UEs which only support one feature. </w:t>
            </w:r>
          </w:p>
        </w:tc>
      </w:tr>
      <w:tr w:rsidR="00BB26BF" w:rsidRPr="00BB26BF" w14:paraId="4B0F20FE" w14:textId="77777777" w:rsidTr="00BB26BF">
        <w:tc>
          <w:tcPr>
            <w:cnfStyle w:val="001000000000" w:firstRow="0" w:lastRow="0" w:firstColumn="1" w:lastColumn="0" w:oddVBand="0" w:evenVBand="0" w:oddHBand="0" w:evenHBand="0" w:firstRowFirstColumn="0" w:firstRowLastColumn="0" w:lastRowFirstColumn="0" w:lastRowLastColumn="0"/>
            <w:tcW w:w="1696" w:type="dxa"/>
          </w:tcPr>
          <w:p w14:paraId="3F1FBEB7" w14:textId="77777777" w:rsidR="00BB26BF" w:rsidRPr="00BB26BF" w:rsidRDefault="00BB26BF" w:rsidP="000A6EA2">
            <w:pPr>
              <w:pStyle w:val="BodyText"/>
            </w:pPr>
            <w:r w:rsidRPr="00BB26BF">
              <w:t>Option 2</w:t>
            </w:r>
          </w:p>
        </w:tc>
        <w:tc>
          <w:tcPr>
            <w:tcW w:w="3686" w:type="dxa"/>
          </w:tcPr>
          <w:p w14:paraId="3FE43817" w14:textId="77777777" w:rsidR="00BB26BF" w:rsidRPr="00BB26BF" w:rsidRDefault="00BB26BF" w:rsidP="000A6EA2">
            <w:pPr>
              <w:pStyle w:val="BodyText"/>
              <w:cnfStyle w:val="000000000000" w:firstRow="0" w:lastRow="0" w:firstColumn="0" w:lastColumn="0" w:oddVBand="0" w:evenVBand="0" w:oddHBand="0" w:evenHBand="0" w:firstRowFirstColumn="0" w:firstRowLastColumn="0" w:lastRowFirstColumn="0" w:lastRowLastColumn="0"/>
            </w:pPr>
            <w:r w:rsidRPr="00BB26BF">
              <w:t>The RRM measurements are left to UE implementation when both HST and relaxed RRM are configured.</w:t>
            </w:r>
          </w:p>
        </w:tc>
        <w:tc>
          <w:tcPr>
            <w:tcW w:w="4247" w:type="dxa"/>
          </w:tcPr>
          <w:p w14:paraId="3148A5D8" w14:textId="77777777" w:rsidR="00BB26BF" w:rsidRPr="00BB26BF" w:rsidRDefault="00BB26BF" w:rsidP="000A6EA2">
            <w:pPr>
              <w:pStyle w:val="BodyText"/>
              <w:cnfStyle w:val="000000000000" w:firstRow="0" w:lastRow="0" w:firstColumn="0" w:lastColumn="0" w:oddVBand="0" w:evenVBand="0" w:oddHBand="0" w:evenHBand="0" w:firstRowFirstColumn="0" w:firstRowLastColumn="0" w:lastRowFirstColumn="0" w:lastRowLastColumn="0"/>
            </w:pPr>
            <w:r w:rsidRPr="00BB26BF">
              <w:t xml:space="preserve">This leads to unpredictable UE </w:t>
            </w:r>
            <w:proofErr w:type="spellStart"/>
            <w:r w:rsidRPr="00BB26BF">
              <w:t>behavior</w:t>
            </w:r>
            <w:proofErr w:type="spellEnd"/>
            <w:r w:rsidRPr="00BB26BF">
              <w:t xml:space="preserve">. A UE implementation may prioritize power saving and loose the HST cell. </w:t>
            </w:r>
          </w:p>
        </w:tc>
      </w:tr>
      <w:tr w:rsidR="00BB26BF" w:rsidRPr="00BB26BF" w14:paraId="5AF66F3D" w14:textId="77777777" w:rsidTr="00BB2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E717BBB" w14:textId="77777777" w:rsidR="00BB26BF" w:rsidRPr="00BB26BF" w:rsidRDefault="00BB26BF" w:rsidP="000A6EA2">
            <w:pPr>
              <w:pStyle w:val="BodyText"/>
            </w:pPr>
            <w:r w:rsidRPr="00BB26BF">
              <w:t>Option 3</w:t>
            </w:r>
          </w:p>
        </w:tc>
        <w:tc>
          <w:tcPr>
            <w:tcW w:w="3686" w:type="dxa"/>
          </w:tcPr>
          <w:p w14:paraId="02A4650B" w14:textId="77777777" w:rsidR="00BB26BF" w:rsidRPr="00BB26BF" w:rsidRDefault="00BB26BF" w:rsidP="000A6EA2">
            <w:pPr>
              <w:pStyle w:val="BodyText"/>
              <w:cnfStyle w:val="000000100000" w:firstRow="0" w:lastRow="0" w:firstColumn="0" w:lastColumn="0" w:oddVBand="0" w:evenVBand="0" w:oddHBand="1" w:evenHBand="0" w:firstRowFirstColumn="0" w:firstRowLastColumn="0" w:lastRowFirstColumn="0" w:lastRowLastColumn="0"/>
            </w:pPr>
            <w:r w:rsidRPr="00BB26BF">
              <w:t>The UE does not relax RRM measurements when HST is configured</w:t>
            </w:r>
          </w:p>
        </w:tc>
        <w:tc>
          <w:tcPr>
            <w:tcW w:w="4247" w:type="dxa"/>
          </w:tcPr>
          <w:p w14:paraId="77C4FBA2" w14:textId="77777777" w:rsidR="00BB26BF" w:rsidRPr="00BB26BF" w:rsidRDefault="00BB26BF" w:rsidP="000A6EA2">
            <w:pPr>
              <w:pStyle w:val="BodyText"/>
              <w:cnfStyle w:val="000000100000" w:firstRow="0" w:lastRow="0" w:firstColumn="0" w:lastColumn="0" w:oddVBand="0" w:evenVBand="0" w:oddHBand="1" w:evenHBand="0" w:firstRowFirstColumn="0" w:firstRowLastColumn="0" w:lastRowFirstColumn="0" w:lastRowLastColumn="0"/>
            </w:pPr>
            <w:r w:rsidRPr="00BB26BF">
              <w:t>Simple but rigid solution, which does not allow a HST UE to relax when it is stationary.</w:t>
            </w:r>
          </w:p>
        </w:tc>
      </w:tr>
      <w:tr w:rsidR="00BB26BF" w:rsidRPr="00BB26BF" w14:paraId="3BD5A199" w14:textId="77777777" w:rsidTr="00BB26BF">
        <w:tc>
          <w:tcPr>
            <w:cnfStyle w:val="001000000000" w:firstRow="0" w:lastRow="0" w:firstColumn="1" w:lastColumn="0" w:oddVBand="0" w:evenVBand="0" w:oddHBand="0" w:evenHBand="0" w:firstRowFirstColumn="0" w:firstRowLastColumn="0" w:lastRowFirstColumn="0" w:lastRowLastColumn="0"/>
            <w:tcW w:w="1696" w:type="dxa"/>
          </w:tcPr>
          <w:p w14:paraId="3B164B75" w14:textId="77777777" w:rsidR="00BB26BF" w:rsidRPr="00BB26BF" w:rsidRDefault="00BB26BF" w:rsidP="000A6EA2">
            <w:pPr>
              <w:pStyle w:val="BodyText"/>
            </w:pPr>
            <w:r w:rsidRPr="00BB26BF">
              <w:t>Option 4</w:t>
            </w:r>
          </w:p>
        </w:tc>
        <w:tc>
          <w:tcPr>
            <w:tcW w:w="3686" w:type="dxa"/>
          </w:tcPr>
          <w:p w14:paraId="6159883E" w14:textId="77777777" w:rsidR="00BB26BF" w:rsidRPr="00BB26BF" w:rsidRDefault="00BB26BF" w:rsidP="000A6EA2">
            <w:pPr>
              <w:pStyle w:val="BodyText"/>
              <w:cnfStyle w:val="000000000000" w:firstRow="0" w:lastRow="0" w:firstColumn="0" w:lastColumn="0" w:oddVBand="0" w:evenVBand="0" w:oddHBand="0" w:evenHBand="0" w:firstRowFirstColumn="0" w:firstRowLastColumn="0" w:lastRowFirstColumn="0" w:lastRowLastColumn="0"/>
            </w:pPr>
            <w:r w:rsidRPr="00BB26BF">
              <w:t xml:space="preserve">The UE relaxes the RRM measurements when the Low mobility criterion is fulfilled and HST is also configured. </w:t>
            </w:r>
          </w:p>
        </w:tc>
        <w:tc>
          <w:tcPr>
            <w:tcW w:w="4247" w:type="dxa"/>
          </w:tcPr>
          <w:p w14:paraId="42CC89F7" w14:textId="77777777" w:rsidR="00BB26BF" w:rsidRPr="00BB26BF" w:rsidRDefault="00BB26BF" w:rsidP="000A6EA2">
            <w:pPr>
              <w:pStyle w:val="BodyText"/>
              <w:cnfStyle w:val="000000000000" w:firstRow="0" w:lastRow="0" w:firstColumn="0" w:lastColumn="0" w:oddVBand="0" w:evenVBand="0" w:oddHBand="0" w:evenHBand="0" w:firstRowFirstColumn="0" w:firstRowLastColumn="0" w:lastRowFirstColumn="0" w:lastRowLastColumn="0"/>
            </w:pPr>
            <w:r w:rsidRPr="00BB26BF">
              <w:t xml:space="preserve">Optimized solution which allows an HST UE to relax RRM measurements when stationary. </w:t>
            </w:r>
          </w:p>
        </w:tc>
      </w:tr>
    </w:tbl>
    <w:p w14:paraId="45B94749" w14:textId="77777777" w:rsidR="00BB26BF" w:rsidRDefault="00BB26BF" w:rsidP="00BB26BF">
      <w:pPr>
        <w:pStyle w:val="BodyText"/>
      </w:pPr>
    </w:p>
    <w:p w14:paraId="6FF08BC4" w14:textId="77777777" w:rsidR="00BB26BF" w:rsidRDefault="00BB26BF" w:rsidP="00BB26BF">
      <w:pPr>
        <w:pStyle w:val="BodyText"/>
      </w:pPr>
      <w:r>
        <w:t>According to options described, it would be good to not limit too much the network and allow the possibility to configure both HST and RRM relaxed measurements at the same time. According to this, Option 4 seems the most reasonable scenario to support.</w:t>
      </w:r>
    </w:p>
    <w:p w14:paraId="7CFC9B68" w14:textId="4F2ABD99" w:rsidR="00BB26BF" w:rsidRPr="00BB26BF" w:rsidRDefault="00BB26BF" w:rsidP="00BB26BF">
      <w:pPr>
        <w:pStyle w:val="Proposal"/>
      </w:pPr>
      <w:bookmarkStart w:id="3" w:name="_Toc146815058"/>
      <w:r>
        <w:t>When HST is configured, the UE may relax RRM measurements when the Low mobility criterion is fulfilled.</w:t>
      </w:r>
      <w:bookmarkEnd w:id="3"/>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4DAE636" w14:textId="77777777" w:rsidR="00BB26BF" w:rsidRDefault="006F65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815056" w:history="1">
        <w:r w:rsidR="00BB26BF" w:rsidRPr="00180613">
          <w:rPr>
            <w:rStyle w:val="Hyperlink"/>
            <w:noProof/>
          </w:rPr>
          <w:t>Observation 1</w:t>
        </w:r>
        <w:r w:rsidR="00BB26BF">
          <w:rPr>
            <w:rFonts w:asciiTheme="minorHAnsi" w:eastAsiaTheme="minorEastAsia" w:hAnsiTheme="minorHAnsi" w:cstheme="minorBidi"/>
            <w:b w:val="0"/>
            <w:noProof/>
            <w:kern w:val="2"/>
            <w:sz w:val="24"/>
            <w:szCs w:val="24"/>
            <w:lang w:val="en-FI" w:eastAsia="en-GB"/>
            <w14:ligatures w14:val="standardContextual"/>
          </w:rPr>
          <w:tab/>
        </w:r>
        <w:r w:rsidR="00BB26BF" w:rsidRPr="00180613">
          <w:rPr>
            <w:rStyle w:val="Hyperlink"/>
            <w:noProof/>
          </w:rPr>
          <w:t>There can be use cases where both HST UEs travelling at high speed and stationary UEs are camped on a cell supporting HST.</w:t>
        </w:r>
      </w:hyperlink>
    </w:p>
    <w:p w14:paraId="5CBE56FE" w14:textId="77777777" w:rsidR="00BB26BF"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5057" w:history="1">
        <w:r w:rsidR="00BB26BF" w:rsidRPr="00180613">
          <w:rPr>
            <w:rStyle w:val="Hyperlink"/>
            <w:noProof/>
          </w:rPr>
          <w:t>Observation 2</w:t>
        </w:r>
        <w:r w:rsidR="00BB26BF">
          <w:rPr>
            <w:rFonts w:asciiTheme="minorHAnsi" w:eastAsiaTheme="minorEastAsia" w:hAnsiTheme="minorHAnsi" w:cstheme="minorBidi"/>
            <w:b w:val="0"/>
            <w:noProof/>
            <w:kern w:val="2"/>
            <w:sz w:val="24"/>
            <w:szCs w:val="24"/>
            <w:lang w:val="en-FI" w:eastAsia="en-GB"/>
            <w14:ligatures w14:val="standardContextual"/>
          </w:rPr>
          <w:tab/>
        </w:r>
        <w:r w:rsidR="00BB26BF" w:rsidRPr="00180613">
          <w:rPr>
            <w:rStyle w:val="Hyperlink"/>
            <w:noProof/>
          </w:rPr>
          <w:t>The RRM measurement requirements are not defined when both RRM relaxation and HST measurements are configured.</w:t>
        </w:r>
      </w:hyperlink>
    </w:p>
    <w:p w14:paraId="3063B187" w14:textId="0D1C4304"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019F39" w14:textId="77777777" w:rsidR="00BB26BF"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15058" w:history="1">
        <w:r w:rsidR="00BB26BF" w:rsidRPr="007447F3">
          <w:rPr>
            <w:rStyle w:val="Hyperlink"/>
            <w:noProof/>
          </w:rPr>
          <w:t>Proposal 1</w:t>
        </w:r>
        <w:r w:rsidR="00BB26BF">
          <w:rPr>
            <w:rFonts w:asciiTheme="minorHAnsi" w:eastAsiaTheme="minorEastAsia" w:hAnsiTheme="minorHAnsi" w:cstheme="minorBidi"/>
            <w:b w:val="0"/>
            <w:noProof/>
            <w:kern w:val="2"/>
            <w:sz w:val="24"/>
            <w:szCs w:val="24"/>
            <w:lang w:val="en-FI" w:eastAsia="en-GB"/>
            <w14:ligatures w14:val="standardContextual"/>
          </w:rPr>
          <w:tab/>
        </w:r>
        <w:r w:rsidR="00BB26BF" w:rsidRPr="007447F3">
          <w:rPr>
            <w:rStyle w:val="Hyperlink"/>
            <w:noProof/>
          </w:rPr>
          <w:t>When HST is configured, the UE may relax RRM measurements when the Low mobility criterion is fulfilled.</w:t>
        </w:r>
      </w:hyperlink>
    </w:p>
    <w:p w14:paraId="53922BF6" w14:textId="784611E3" w:rsidR="00C01F33" w:rsidRPr="00BB26BF" w:rsidRDefault="006E1C82" w:rsidP="00BB26BF">
      <w:pPr>
        <w:pStyle w:val="BodyText"/>
        <w:rPr>
          <w:b/>
          <w:bCs/>
        </w:rPr>
      </w:pPr>
      <w:r>
        <w:rPr>
          <w:b/>
          <w:bCs/>
          <w:lang w:val="en-US"/>
        </w:rPr>
        <w:fldChar w:fldCharType="end"/>
      </w:r>
    </w:p>
    <w:p w14:paraId="29AD60D9" w14:textId="77777777" w:rsidR="00F507D1" w:rsidRPr="00CE0424" w:rsidRDefault="00F507D1" w:rsidP="00CE0424">
      <w:pPr>
        <w:pStyle w:val="Heading1"/>
      </w:pPr>
      <w:bookmarkStart w:id="4" w:name="_In-sequence_SDU_delivery"/>
      <w:bookmarkEnd w:id="4"/>
      <w:r w:rsidRPr="00CE0424">
        <w:t>References</w:t>
      </w:r>
    </w:p>
    <w:p w14:paraId="04C13044" w14:textId="7ACF0022" w:rsidR="00BB26BF" w:rsidRDefault="00BB26BF" w:rsidP="00BB26BF">
      <w:pPr>
        <w:pStyle w:val="Reference"/>
      </w:pPr>
      <w:bookmarkStart w:id="5" w:name="_Ref174151459"/>
      <w:bookmarkStart w:id="6" w:name="_Ref189809556"/>
      <w:r>
        <w:t xml:space="preserve">R2-2304746, Correction on RRM relaxation and </w:t>
      </w:r>
      <w:proofErr w:type="spellStart"/>
      <w:r>
        <w:t>highspeedConfig</w:t>
      </w:r>
      <w:proofErr w:type="spellEnd"/>
      <w:r>
        <w:t>, OPPO, ZEKU, CR Rel-16 38.331, RAN2#122</w:t>
      </w:r>
    </w:p>
    <w:p w14:paraId="6FECCF80" w14:textId="2468DBED" w:rsidR="003A7EF3" w:rsidRPr="00CE0424" w:rsidRDefault="00BB26BF" w:rsidP="00CE0424">
      <w:pPr>
        <w:pStyle w:val="Reference"/>
      </w:pPr>
      <w:r>
        <w:lastRenderedPageBreak/>
        <w:t xml:space="preserve">R2-2304747, Correction on RRM relaxation and </w:t>
      </w:r>
      <w:proofErr w:type="spellStart"/>
      <w:r>
        <w:t>highspeedConfig</w:t>
      </w:r>
      <w:proofErr w:type="spellEnd"/>
      <w:r>
        <w:t>, OPPO, ZEKU, CR Rel-17 38.331, RAN2#122</w:t>
      </w:r>
      <w:bookmarkEnd w:id="5"/>
      <w:bookmarkEnd w:id="6"/>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9055" w14:textId="77777777" w:rsidR="0069797F" w:rsidRDefault="0069797F">
      <w:r>
        <w:separator/>
      </w:r>
    </w:p>
  </w:endnote>
  <w:endnote w:type="continuationSeparator" w:id="0">
    <w:p w14:paraId="59EFB272" w14:textId="77777777" w:rsidR="0069797F" w:rsidRDefault="0069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8BB7F" w14:textId="77777777" w:rsidR="0069797F" w:rsidRDefault="0069797F">
      <w:r>
        <w:separator/>
      </w:r>
    </w:p>
  </w:footnote>
  <w:footnote w:type="continuationSeparator" w:id="0">
    <w:p w14:paraId="5DDD39F8" w14:textId="77777777" w:rsidR="0069797F" w:rsidRDefault="0069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1"/>
  </w:num>
  <w:num w:numId="21" w16cid:durableId="976183084">
    <w:abstractNumId w:val="10"/>
  </w:num>
  <w:num w:numId="22" w16cid:durableId="137411770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3F1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97F"/>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835"/>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6BF"/>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4-Accent1">
    <w:name w:val="Grid Table 4 Accent 1"/>
    <w:basedOn w:val="TableNormal"/>
    <w:uiPriority w:val="49"/>
    <w:rsid w:val="00BB26B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10</TotalTime>
  <Pages>3</Pages>
  <Words>717</Words>
  <Characters>4363</Characters>
  <Application>Microsoft Office Word</Application>
  <DocSecurity>0</DocSecurity>
  <Lines>96</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8</cp:revision>
  <cp:lastPrinted>2008-01-31T07:09:00Z</cp:lastPrinted>
  <dcterms:created xsi:type="dcterms:W3CDTF">2023-08-31T07:30:00Z</dcterms:created>
  <dcterms:modified xsi:type="dcterms:W3CDTF">2023-09-28T16:15:00Z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